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74D17">
      <w:pPr>
        <w:spacing w:line="600" w:lineRule="exact"/>
        <w:jc w:val="left"/>
        <w:rPr>
          <w:rFonts w:hint="eastAsia" w:ascii="仿宋" w:hAnsi="仿宋" w:eastAsia="仿宋" w:cs="仿宋"/>
          <w:sz w:val="28"/>
          <w:szCs w:val="28"/>
        </w:rPr>
      </w:pPr>
    </w:p>
    <w:p w14:paraId="01CB043C">
      <w:pPr>
        <w:spacing w:after="312" w:afterLines="100" w:line="600" w:lineRule="exact"/>
        <w:jc w:val="center"/>
        <w:rPr>
          <w:rFonts w:hint="eastAsia" w:ascii="方正小标宋简体" w:hAnsi="方正小标宋简体" w:eastAsia="方正小标宋简体" w:cs="方正小标宋_GBK"/>
          <w:sz w:val="44"/>
          <w:szCs w:val="44"/>
          <w:lang w:eastAsia="zh-CN"/>
        </w:rPr>
      </w:pPr>
      <w:r>
        <w:rPr>
          <w:rFonts w:hint="eastAsia" w:ascii="方正小标宋简体" w:hAnsi="方正小标宋简体" w:eastAsia="方正小标宋简体" w:cs="方正小标宋_GBK"/>
          <w:sz w:val="44"/>
          <w:szCs w:val="44"/>
        </w:rPr>
        <w:t>关于公开征集</w:t>
      </w:r>
      <w:r>
        <w:rPr>
          <w:rFonts w:hint="eastAsia" w:ascii="方正小标宋简体" w:hAnsi="方正小标宋简体" w:eastAsia="方正小标宋简体" w:cs="方正小标宋_GBK"/>
          <w:sz w:val="44"/>
          <w:szCs w:val="44"/>
          <w:lang w:eastAsia="zh-CN"/>
        </w:rPr>
        <w:t>高端先进材料创投基金</w:t>
      </w:r>
    </w:p>
    <w:p w14:paraId="59EDE250">
      <w:pPr>
        <w:spacing w:after="312" w:afterLines="100" w:line="600" w:lineRule="exact"/>
        <w:jc w:val="center"/>
        <w:rPr>
          <w:rFonts w:hint="eastAsia"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合作机构的方案</w:t>
      </w:r>
      <w:bookmarkStart w:id="0" w:name="_GoBack"/>
      <w:bookmarkEnd w:id="0"/>
    </w:p>
    <w:p w14:paraId="7F809CCB">
      <w:pPr>
        <w:spacing w:line="600" w:lineRule="exact"/>
        <w:ind w:firstLine="640" w:firstLineChars="200"/>
        <w:rPr>
          <w:rFonts w:hint="eastAsia" w:ascii="仿宋_GB2312" w:hAnsi="仿宋" w:eastAsia="仿宋_GB2312" w:cs="仿宋"/>
          <w:sz w:val="32"/>
          <w:szCs w:val="32"/>
        </w:rPr>
      </w:pPr>
      <w:r>
        <w:rPr>
          <w:rFonts w:hint="eastAsia" w:ascii="仿宋_GB2312" w:eastAsia="仿宋_GB2312"/>
          <w:sz w:val="32"/>
          <w:szCs w:val="32"/>
        </w:rPr>
        <w:t>为贯彻落实济南市产业高质量发展部署，聚焦前沿新材料领域关键技术突破和产业化应用，进一步完善我市战略性新兴产业投融资体系，</w:t>
      </w:r>
      <w:r>
        <w:rPr>
          <w:rFonts w:hint="eastAsia" w:ascii="仿宋_GB2312" w:hAnsi="仿宋" w:eastAsia="仿宋_GB2312" w:cs="仿宋"/>
          <w:sz w:val="32"/>
          <w:szCs w:val="32"/>
        </w:rPr>
        <w:t>济南市引导基金出资主体济南市财政投资基金控股集团有限公司拟发起设立</w:t>
      </w:r>
      <w:r>
        <w:rPr>
          <w:rFonts w:hint="eastAsia" w:ascii="仿宋_GB2312" w:eastAsia="仿宋_GB2312"/>
          <w:sz w:val="32"/>
          <w:szCs w:val="32"/>
          <w:lang w:eastAsia="zh-CN"/>
        </w:rPr>
        <w:t>高端先进材料创投基金</w:t>
      </w:r>
      <w:r>
        <w:rPr>
          <w:rFonts w:hint="eastAsia" w:ascii="仿宋_GB2312" w:hAnsi="仿宋" w:eastAsia="仿宋_GB2312" w:cs="仿宋"/>
          <w:sz w:val="32"/>
          <w:szCs w:val="32"/>
        </w:rPr>
        <w:t>（暂定名），现面向社会公开征集合作机构，有关情况公告如下：</w:t>
      </w:r>
    </w:p>
    <w:p w14:paraId="41161738">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一、基金核心要素要求</w:t>
      </w:r>
    </w:p>
    <w:p w14:paraId="6FA750D3">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（一）基金规模</w:t>
      </w:r>
    </w:p>
    <w:p w14:paraId="5AD6CA0F">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济南市财政投资基金控股集团有限公司（以下简称“济南财投”）发起设立目标规模</w:t>
      </w:r>
      <w:r>
        <w:rPr>
          <w:rFonts w:hint="eastAsia" w:ascii="仿宋_GB2312" w:hAnsi="仿宋" w:eastAsia="仿宋_GB2312" w:cs="仿宋"/>
          <w:sz w:val="32"/>
          <w:szCs w:val="32"/>
          <w:lang w:val="en-US" w:eastAsia="zh-CN"/>
        </w:rPr>
        <w:t>不超4亿元</w:t>
      </w:r>
      <w:r>
        <w:rPr>
          <w:rFonts w:ascii="仿宋_GB2312" w:hAnsi="仿宋" w:eastAsia="仿宋_GB2312" w:cs="仿宋"/>
          <w:sz w:val="32"/>
          <w:szCs w:val="32"/>
        </w:rPr>
        <w:t>的</w:t>
      </w:r>
      <w:r>
        <w:rPr>
          <w:rFonts w:hint="eastAsia" w:ascii="仿宋_GB2312" w:hAnsi="仿宋" w:eastAsia="仿宋_GB2312" w:cs="仿宋"/>
          <w:sz w:val="32"/>
          <w:szCs w:val="32"/>
          <w:lang w:eastAsia="zh-CN"/>
        </w:rPr>
        <w:t>高端先进材料创投基金</w:t>
      </w:r>
      <w:r>
        <w:rPr>
          <w:rFonts w:ascii="仿宋_GB2312" w:hAnsi="仿宋" w:eastAsia="仿宋_GB2312" w:cs="仿宋"/>
          <w:sz w:val="32"/>
          <w:szCs w:val="32"/>
        </w:rPr>
        <w:t>。</w:t>
      </w:r>
      <w:r>
        <w:rPr>
          <w:rFonts w:hint="eastAsia" w:ascii="仿宋_GB2312" w:hAnsi="仿宋" w:eastAsia="仿宋_GB2312" w:cs="仿宋"/>
          <w:sz w:val="32"/>
          <w:szCs w:val="32"/>
        </w:rPr>
        <w:t>济南财投代表济南市政府引导基金（以下简称“引导基金”）认缴出资不超过基金规模的25%。基金管理人负责出资或募集资金不低于基金规模的75%，其中基金管理人</w:t>
      </w:r>
      <w:r>
        <w:rPr>
          <w:rFonts w:hint="eastAsia" w:ascii="仿宋_GB2312" w:hAnsi="仿宋" w:eastAsia="仿宋_GB2312" w:cs="仿宋"/>
          <w:sz w:val="32"/>
          <w:szCs w:val="32"/>
          <w:lang w:val="en-US" w:eastAsia="zh-CN"/>
        </w:rPr>
        <w:t>及关联方</w:t>
      </w:r>
      <w:r>
        <w:rPr>
          <w:rFonts w:hint="eastAsia" w:ascii="仿宋_GB2312" w:hAnsi="仿宋" w:eastAsia="仿宋_GB2312" w:cs="仿宋"/>
          <w:sz w:val="32"/>
          <w:szCs w:val="32"/>
        </w:rPr>
        <w:t>出资不低于</w:t>
      </w:r>
      <w:r>
        <w:rPr>
          <w:rFonts w:hint="eastAsia" w:ascii="仿宋_GB2312" w:hAnsi="仿宋" w:eastAsia="仿宋_GB2312" w:cs="仿宋"/>
          <w:sz w:val="32"/>
          <w:szCs w:val="32"/>
          <w:lang w:val="en-US" w:eastAsia="zh-CN"/>
        </w:rPr>
        <w:t>2</w:t>
      </w:r>
      <w:r>
        <w:rPr>
          <w:rFonts w:ascii="仿宋_GB2312" w:hAnsi="仿宋" w:eastAsia="仿宋_GB2312" w:cs="仿宋"/>
          <w:sz w:val="32"/>
          <w:szCs w:val="32"/>
        </w:rPr>
        <w:t>%。</w:t>
      </w:r>
    </w:p>
    <w:p w14:paraId="10F34093">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w:t>
      </w:r>
      <w:r>
        <w:rPr>
          <w:rFonts w:ascii="楷体_GB2312" w:hAnsi="仿宋" w:eastAsia="楷体_GB2312" w:cs="仿宋"/>
          <w:sz w:val="32"/>
          <w:szCs w:val="32"/>
        </w:rPr>
        <w:t>二</w:t>
      </w:r>
      <w:r>
        <w:rPr>
          <w:rFonts w:hint="eastAsia" w:ascii="楷体_GB2312" w:hAnsi="仿宋" w:eastAsia="楷体_GB2312" w:cs="仿宋"/>
          <w:sz w:val="32"/>
          <w:szCs w:val="32"/>
        </w:rPr>
        <w:t>）</w:t>
      </w:r>
      <w:r>
        <w:rPr>
          <w:rFonts w:ascii="楷体_GB2312" w:hAnsi="仿宋" w:eastAsia="楷体_GB2312" w:cs="仿宋"/>
          <w:sz w:val="32"/>
          <w:szCs w:val="32"/>
        </w:rPr>
        <w:t>投资方向</w:t>
      </w:r>
      <w:r>
        <w:rPr>
          <w:rFonts w:hint="eastAsia" w:ascii="楷体_GB2312" w:hAnsi="仿宋" w:eastAsia="楷体_GB2312" w:cs="仿宋"/>
          <w:sz w:val="32"/>
          <w:szCs w:val="32"/>
        </w:rPr>
        <w:t>及地域</w:t>
      </w:r>
    </w:p>
    <w:p w14:paraId="329638E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重点</w:t>
      </w:r>
      <w:r>
        <w:rPr>
          <w:rFonts w:hint="eastAsia" w:ascii="仿宋_GB2312" w:hAnsi="仿宋" w:eastAsia="仿宋_GB2312" w:cs="仿宋"/>
          <w:sz w:val="32"/>
          <w:szCs w:val="32"/>
          <w:lang w:val="en-US" w:eastAsia="zh-CN"/>
        </w:rPr>
        <w:t>围绕</w:t>
      </w:r>
      <w:r>
        <w:rPr>
          <w:rFonts w:hint="eastAsia" w:ascii="仿宋_GB2312" w:hAnsi="仿宋_GB2312" w:eastAsia="仿宋_GB2312" w:cs="仿宋_GB2312"/>
          <w:sz w:val="32"/>
          <w:lang w:val="en-US" w:eastAsia="zh-CN"/>
        </w:rPr>
        <w:t>新能源、集成电路、空天信息、医疗等产业链的中游、上游高端先进材料项目开展投资</w:t>
      </w:r>
      <w:r>
        <w:rPr>
          <w:rFonts w:hint="eastAsia" w:ascii="仿宋_GB2312" w:hAnsi="仿宋" w:eastAsia="仿宋_GB2312" w:cs="仿宋"/>
          <w:sz w:val="32"/>
          <w:szCs w:val="32"/>
        </w:rPr>
        <w:t>。投资济南市内企业金额应符合《济南市政府引导基金管理办法》及其实施细则相关要求。</w:t>
      </w:r>
    </w:p>
    <w:p w14:paraId="32F1892E">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（三）</w:t>
      </w:r>
      <w:r>
        <w:rPr>
          <w:rFonts w:ascii="楷体_GB2312" w:hAnsi="仿宋" w:eastAsia="楷体_GB2312" w:cs="仿宋"/>
          <w:sz w:val="32"/>
          <w:szCs w:val="32"/>
        </w:rPr>
        <w:t>基金组织形式和存续期</w:t>
      </w:r>
    </w:p>
    <w:p w14:paraId="683684A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eastAsia="zh-CN"/>
        </w:rPr>
        <w:t>高端先进材料创投基金</w:t>
      </w:r>
      <w:r>
        <w:rPr>
          <w:rFonts w:hint="eastAsia" w:ascii="仿宋_GB2312" w:hAnsi="仿宋" w:eastAsia="仿宋_GB2312" w:cs="仿宋"/>
          <w:sz w:val="32"/>
          <w:szCs w:val="32"/>
        </w:rPr>
        <w:t>以有限合伙企业形式组建。合伙企业存续期不少于5</w:t>
      </w:r>
      <w:r>
        <w:rPr>
          <w:rFonts w:ascii="仿宋_GB2312" w:hAnsi="仿宋" w:eastAsia="仿宋_GB2312" w:cs="仿宋"/>
          <w:sz w:val="32"/>
          <w:szCs w:val="32"/>
        </w:rPr>
        <w:t>年。可根据实际</w:t>
      </w:r>
      <w:r>
        <w:rPr>
          <w:rFonts w:hint="eastAsia" w:ascii="仿宋_GB2312" w:hAnsi="仿宋" w:eastAsia="仿宋_GB2312" w:cs="仿宋"/>
          <w:sz w:val="32"/>
          <w:szCs w:val="32"/>
        </w:rPr>
        <w:t>情况</w:t>
      </w:r>
      <w:r>
        <w:rPr>
          <w:rFonts w:ascii="仿宋_GB2312" w:hAnsi="仿宋" w:eastAsia="仿宋_GB2312" w:cs="仿宋"/>
          <w:sz w:val="32"/>
          <w:szCs w:val="32"/>
        </w:rPr>
        <w:t>延长，</w:t>
      </w:r>
      <w:r>
        <w:rPr>
          <w:rFonts w:hint="eastAsia" w:ascii="仿宋_GB2312" w:hAnsi="仿宋" w:eastAsia="仿宋_GB2312" w:cs="仿宋"/>
          <w:sz w:val="32"/>
          <w:szCs w:val="32"/>
        </w:rPr>
        <w:t>但基金整体存续期限不可超过10年</w:t>
      </w:r>
      <w:r>
        <w:rPr>
          <w:rFonts w:ascii="仿宋_GB2312" w:hAnsi="仿宋" w:eastAsia="仿宋_GB2312" w:cs="仿宋"/>
          <w:sz w:val="32"/>
          <w:szCs w:val="32"/>
        </w:rPr>
        <w:t>。</w:t>
      </w:r>
    </w:p>
    <w:p w14:paraId="11FCBC68">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（四）</w:t>
      </w:r>
      <w:r>
        <w:rPr>
          <w:rFonts w:ascii="楷体_GB2312" w:hAnsi="仿宋" w:eastAsia="楷体_GB2312" w:cs="仿宋"/>
          <w:sz w:val="32"/>
          <w:szCs w:val="32"/>
        </w:rPr>
        <w:t>基金的</w:t>
      </w:r>
      <w:r>
        <w:rPr>
          <w:rFonts w:hint="eastAsia" w:ascii="楷体_GB2312" w:hAnsi="仿宋" w:eastAsia="楷体_GB2312" w:cs="仿宋"/>
          <w:sz w:val="32"/>
          <w:szCs w:val="32"/>
        </w:rPr>
        <w:t>管理费及收益分配</w:t>
      </w:r>
    </w:p>
    <w:p w14:paraId="3843C67A">
      <w:pPr>
        <w:spacing w:line="600" w:lineRule="exact"/>
        <w:ind w:firstLine="640" w:firstLineChars="200"/>
        <w:rPr>
          <w:rFonts w:hint="eastAsia" w:ascii="仿宋_GB2312" w:hAnsi="仿宋" w:eastAsia="仿宋_GB2312" w:cs="仿宋"/>
          <w:bCs/>
          <w:sz w:val="32"/>
          <w:szCs w:val="32"/>
          <w:highlight w:val="yellow"/>
        </w:rPr>
      </w:pPr>
      <w:r>
        <w:rPr>
          <w:rFonts w:hint="eastAsia" w:ascii="仿宋_GB2312" w:hAnsi="仿宋" w:eastAsia="仿宋_GB2312" w:cs="仿宋"/>
          <w:bCs/>
          <w:sz w:val="32"/>
          <w:szCs w:val="32"/>
        </w:rPr>
        <w:t>每年基金管理费及执行事务合伙人报酬等相关费用合计不高于基金实缴规模的2</w:t>
      </w:r>
      <w:r>
        <w:rPr>
          <w:rFonts w:ascii="仿宋_GB2312" w:hAnsi="仿宋" w:eastAsia="仿宋_GB2312" w:cs="仿宋"/>
          <w:bCs/>
          <w:sz w:val="32"/>
          <w:szCs w:val="32"/>
        </w:rPr>
        <w:t>%</w:t>
      </w:r>
      <w:r>
        <w:rPr>
          <w:rFonts w:hint="eastAsia" w:ascii="仿宋_GB2312" w:hAnsi="仿宋" w:eastAsia="仿宋_GB2312" w:cs="仿宋"/>
          <w:bCs/>
          <w:sz w:val="32"/>
          <w:szCs w:val="32"/>
        </w:rPr>
        <w:t>/年。收益分配方面，基金采取“即退即分”的分配模式，各合伙人按实缴出资比例计算、分配本基金收益，按照“先回本后分利”原则实行收益分配。基金清算出现亏损时，由参股基金各出资人按出资比例承担，引导基金承担金额以其出资额为上限。</w:t>
      </w:r>
    </w:p>
    <w:p w14:paraId="0A5927EF">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（五）基金类型</w:t>
      </w:r>
    </w:p>
    <w:p w14:paraId="5E8B293C">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创业投资基金</w:t>
      </w:r>
      <w:r>
        <w:rPr>
          <w:rFonts w:hint="eastAsia" w:ascii="仿宋_GB2312" w:hAnsi="仿宋" w:eastAsia="仿宋_GB2312" w:cs="仿宋"/>
          <w:sz w:val="32"/>
          <w:szCs w:val="32"/>
        </w:rPr>
        <w:t>，并纳入济南市政府引导基金“6+N”体系，由济南</w:t>
      </w:r>
      <w:r>
        <w:rPr>
          <w:rFonts w:hint="eastAsia" w:ascii="仿宋_GB2312" w:hAnsi="仿宋" w:eastAsia="仿宋_GB2312" w:cs="仿宋"/>
          <w:sz w:val="32"/>
          <w:szCs w:val="32"/>
          <w:lang w:val="en-US" w:eastAsia="zh-CN"/>
        </w:rPr>
        <w:t>财投新动能投资管理</w:t>
      </w:r>
      <w:r>
        <w:rPr>
          <w:rFonts w:hint="eastAsia" w:ascii="仿宋_GB2312" w:hAnsi="仿宋" w:eastAsia="仿宋_GB2312" w:cs="仿宋"/>
          <w:sz w:val="32"/>
          <w:szCs w:val="32"/>
        </w:rPr>
        <w:t>有限公司进行归口管理。</w:t>
      </w:r>
    </w:p>
    <w:p w14:paraId="555B924F">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二、基金管理机构申请条件</w:t>
      </w:r>
    </w:p>
    <w:p w14:paraId="738896BA">
      <w:pPr>
        <w:spacing w:line="600" w:lineRule="exact"/>
        <w:ind w:firstLine="640" w:firstLineChars="200"/>
        <w:rPr>
          <w:rFonts w:hint="eastAsia" w:ascii="仿宋_GB2312" w:hAnsi="等线" w:eastAsia="仿宋_GB2312" w:cs="Times New Roman"/>
          <w:sz w:val="32"/>
          <w:szCs w:val="32"/>
          <w14:ligatures w14:val="standardContextual"/>
        </w:rPr>
      </w:pPr>
      <w:r>
        <w:rPr>
          <w:rFonts w:hint="eastAsia" w:ascii="楷体_GB2312" w:hAnsi="等线" w:eastAsia="楷体_GB2312" w:cs="Times New Roman"/>
          <w:sz w:val="32"/>
          <w:szCs w:val="32"/>
          <w14:ligatures w14:val="standardContextual"/>
        </w:rPr>
        <w:t>（一）注册资本：</w:t>
      </w:r>
      <w:r>
        <w:rPr>
          <w:rFonts w:hint="eastAsia" w:ascii="仿宋_GB2312" w:hAnsi="等线" w:eastAsia="仿宋_GB2312" w:cs="Times New Roman"/>
          <w:sz w:val="32"/>
          <w:szCs w:val="32"/>
          <w14:ligatures w14:val="standardContextual"/>
        </w:rPr>
        <w:t>管理机构应为依法注册且经中国证券投资基金业协会登记备案的私募股权投资基金或创业投资基金管理人。管理机构资本充足，实缴注册资本不低于1000万元。</w:t>
      </w:r>
    </w:p>
    <w:p w14:paraId="79DDEC89">
      <w:pPr>
        <w:spacing w:line="600" w:lineRule="exact"/>
        <w:ind w:firstLine="640" w:firstLineChars="200"/>
        <w:rPr>
          <w:rFonts w:hint="eastAsia" w:ascii="等线" w:hAnsi="等线" w:eastAsia="等线" w:cs="Times New Roman"/>
          <w:sz w:val="32"/>
          <w:szCs w:val="32"/>
          <w14:ligatures w14:val="standardContextual"/>
        </w:rPr>
      </w:pPr>
      <w:r>
        <w:rPr>
          <w:rFonts w:hint="eastAsia" w:ascii="楷体_GB2312" w:hAnsi="等线" w:eastAsia="楷体_GB2312" w:cs="Times New Roman"/>
          <w:sz w:val="32"/>
          <w:szCs w:val="32"/>
          <w14:ligatures w14:val="standardContextual"/>
        </w:rPr>
        <w:t>（二）管理人员：</w:t>
      </w:r>
      <w:r>
        <w:rPr>
          <w:rFonts w:hint="eastAsia" w:ascii="仿宋_GB2312" w:hAnsi="等线" w:eastAsia="仿宋_GB2312" w:cs="Times New Roman"/>
          <w:sz w:val="32"/>
          <w:szCs w:val="32"/>
          <w14:ligatures w14:val="standardContextual"/>
        </w:rPr>
        <w:t>管理机构具备管理基金所需的人员，至少有3名具备5年以上股权投资或相关业务经验的专职高级管理人员，核心管理团队稳定。</w:t>
      </w:r>
    </w:p>
    <w:p w14:paraId="29CD179D">
      <w:pPr>
        <w:spacing w:line="600" w:lineRule="exact"/>
        <w:ind w:firstLine="640" w:firstLineChars="200"/>
        <w:rPr>
          <w:rFonts w:hint="eastAsia" w:ascii="仿宋_GB2312" w:hAnsi="等线" w:eastAsia="仿宋_GB2312" w:cs="Times New Roman"/>
          <w:sz w:val="32"/>
          <w:szCs w:val="32"/>
          <w14:ligatures w14:val="standardContextual"/>
        </w:rPr>
      </w:pPr>
      <w:r>
        <w:rPr>
          <w:rFonts w:hint="eastAsia" w:ascii="楷体_GB2312" w:hAnsi="等线" w:eastAsia="楷体_GB2312" w:cs="Times New Roman"/>
          <w:sz w:val="32"/>
          <w:szCs w:val="32"/>
          <w14:ligatures w14:val="standardContextual"/>
        </w:rPr>
        <w:t>（三）管理经验：</w:t>
      </w:r>
      <w:r>
        <w:rPr>
          <w:rFonts w:hint="eastAsia" w:ascii="仿宋_GB2312" w:hAnsi="等线" w:eastAsia="仿宋_GB2312" w:cs="Times New Roman"/>
          <w:sz w:val="32"/>
          <w:szCs w:val="32"/>
          <w14:ligatures w14:val="standardContextual"/>
        </w:rPr>
        <w:t>管理机构或团队具备较强的资金募集能力及丰富的项目储备，且具备良好的管理业绩，至少主导过3个以上成功股权投资案例。</w:t>
      </w:r>
    </w:p>
    <w:p w14:paraId="032A9E22">
      <w:pPr>
        <w:spacing w:line="600" w:lineRule="exact"/>
        <w:ind w:firstLine="640" w:firstLineChars="200"/>
        <w:rPr>
          <w:rFonts w:hint="eastAsia" w:ascii="仿宋_GB2312" w:hAnsi="等线" w:eastAsia="仿宋_GB2312" w:cs="Times New Roman"/>
          <w:sz w:val="32"/>
          <w:szCs w:val="32"/>
          <w14:ligatures w14:val="standardContextual"/>
        </w:rPr>
      </w:pPr>
      <w:r>
        <w:rPr>
          <w:rFonts w:hint="eastAsia" w:ascii="楷体_GB2312" w:hAnsi="等线" w:eastAsia="楷体_GB2312" w:cs="Times New Roman"/>
          <w:sz w:val="32"/>
          <w:szCs w:val="32"/>
          <w14:ligatures w14:val="standardContextual"/>
        </w:rPr>
        <w:t>（四）项目资源</w:t>
      </w:r>
      <w:r>
        <w:rPr>
          <w:rFonts w:hint="eastAsia" w:ascii="等线" w:hAnsi="等线" w:eastAsia="等线" w:cs="Times New Roman"/>
          <w:sz w:val="32"/>
          <w:szCs w:val="32"/>
          <w14:ligatures w14:val="standardContextual"/>
        </w:rPr>
        <w:t>：</w:t>
      </w:r>
      <w:r>
        <w:rPr>
          <w:rFonts w:hint="eastAsia" w:ascii="仿宋_GB2312" w:hAnsi="等线" w:eastAsia="仿宋_GB2312" w:cs="Times New Roman"/>
          <w:sz w:val="32"/>
          <w:szCs w:val="32"/>
          <w14:ligatures w14:val="standardContextual"/>
        </w:rPr>
        <w:t>在济南市拥有丰富的项目储备，包括但不限于已与济南市内企业签署初步战略合作协议或项目方已初步确认落地济南意向的项目。</w:t>
      </w:r>
    </w:p>
    <w:p w14:paraId="00CA689F">
      <w:pPr>
        <w:spacing w:line="600" w:lineRule="exact"/>
        <w:ind w:firstLine="640" w:firstLineChars="200"/>
        <w:rPr>
          <w:rFonts w:hint="eastAsia" w:ascii="仿宋_GB2312" w:hAnsi="等线" w:eastAsia="仿宋_GB2312" w:cs="Times New Roman"/>
          <w:sz w:val="32"/>
          <w:szCs w:val="32"/>
          <w14:ligatures w14:val="standardContextual"/>
        </w:rPr>
      </w:pPr>
      <w:r>
        <w:rPr>
          <w:rFonts w:hint="eastAsia" w:ascii="楷体_GB2312" w:hAnsi="等线" w:eastAsia="楷体_GB2312" w:cs="Times New Roman"/>
          <w:sz w:val="32"/>
          <w:szCs w:val="32"/>
          <w14:ligatures w14:val="standardContextual"/>
        </w:rPr>
        <w:t>（五）在济人员配备</w:t>
      </w:r>
      <w:r>
        <w:rPr>
          <w:rFonts w:hint="eastAsia" w:ascii="等线" w:hAnsi="等线" w:eastAsia="等线" w:cs="Times New Roman"/>
          <w:sz w:val="32"/>
          <w:szCs w:val="32"/>
          <w14:ligatures w14:val="standardContextual"/>
        </w:rPr>
        <w:t>：</w:t>
      </w:r>
      <w:r>
        <w:rPr>
          <w:rFonts w:hint="eastAsia" w:ascii="仿宋_GB2312" w:hAnsi="等线" w:eastAsia="仿宋_GB2312" w:cs="Times New Roman"/>
          <w:sz w:val="32"/>
          <w:szCs w:val="32"/>
          <w14:ligatures w14:val="standardContextual"/>
        </w:rPr>
        <w:t>已在或拟在济南市内设置固定办公场所并配备专属且稳定的管理团队，至少</w:t>
      </w:r>
      <w:r>
        <w:rPr>
          <w:rFonts w:hint="eastAsia" w:ascii="仿宋_GB2312" w:hAnsi="等线" w:eastAsia="仿宋_GB2312" w:cs="Times New Roman"/>
          <w:sz w:val="32"/>
          <w:szCs w:val="32"/>
          <w:lang w:val="en-US" w:eastAsia="zh-CN"/>
          <w14:ligatures w14:val="standardContextual"/>
        </w:rPr>
        <w:t>2</w:t>
      </w:r>
      <w:r>
        <w:rPr>
          <w:rFonts w:hint="eastAsia" w:ascii="仿宋_GB2312" w:hAnsi="等线" w:eastAsia="仿宋_GB2312" w:cs="Times New Roman"/>
          <w:sz w:val="32"/>
          <w:szCs w:val="32"/>
          <w14:ligatures w14:val="standardContextual"/>
        </w:rPr>
        <w:t>名核心人员常驻济南办公。</w:t>
      </w:r>
    </w:p>
    <w:p w14:paraId="0EE2224D">
      <w:pPr>
        <w:spacing w:line="600" w:lineRule="exact"/>
        <w:ind w:firstLine="640" w:firstLineChars="200"/>
        <w:rPr>
          <w:rFonts w:hint="eastAsia" w:ascii="仿宋_GB2312" w:hAnsi="等线" w:eastAsia="仿宋_GB2312" w:cs="Times New Roman"/>
          <w:sz w:val="32"/>
          <w:szCs w:val="32"/>
          <w14:ligatures w14:val="standardContextual"/>
        </w:rPr>
      </w:pPr>
      <w:r>
        <w:rPr>
          <w:rFonts w:hint="eastAsia" w:ascii="楷体_GB2312" w:hAnsi="等线" w:eastAsia="楷体_GB2312" w:cs="Times New Roman"/>
          <w:sz w:val="32"/>
          <w:szCs w:val="32"/>
          <w14:ligatures w14:val="standardContextual"/>
        </w:rPr>
        <w:t>（六）信誉要求：</w:t>
      </w:r>
      <w:r>
        <w:rPr>
          <w:rFonts w:hint="eastAsia" w:ascii="仿宋_GB2312" w:hAnsi="等线" w:eastAsia="仿宋_GB2312" w:cs="Times New Roman"/>
          <w:sz w:val="32"/>
          <w:szCs w:val="32"/>
          <w14:ligatures w14:val="standardContextual"/>
        </w:rPr>
        <w:t>管理机构及其高级管理人员最近三年内无重大过失、违法违纪行为，无受到行政主管机关或司法机关有关处罚等影响基金正常运营的不良记录。</w:t>
      </w:r>
    </w:p>
    <w:p w14:paraId="6F9A3287">
      <w:pPr>
        <w:spacing w:line="600" w:lineRule="exact"/>
        <w:ind w:firstLine="640" w:firstLineChars="200"/>
        <w:rPr>
          <w:rFonts w:hint="eastAsia" w:ascii="等线" w:hAnsi="等线" w:eastAsia="等线" w:cs="Times New Roman"/>
          <w:sz w:val="32"/>
          <w:szCs w:val="32"/>
          <w14:ligatures w14:val="standardContextual"/>
        </w:rPr>
      </w:pPr>
      <w:r>
        <w:rPr>
          <w:rFonts w:hint="eastAsia" w:ascii="楷体_GB2312" w:hAnsi="等线" w:eastAsia="楷体_GB2312" w:cs="Times New Roman"/>
          <w:sz w:val="32"/>
          <w:szCs w:val="32"/>
          <w14:ligatures w14:val="standardContextual"/>
        </w:rPr>
        <w:t>（七）风控要求：</w:t>
      </w:r>
      <w:r>
        <w:rPr>
          <w:rFonts w:hint="eastAsia" w:ascii="仿宋_GB2312" w:hAnsi="等线" w:eastAsia="仿宋_GB2312" w:cs="Times New Roman"/>
          <w:sz w:val="32"/>
          <w:szCs w:val="32"/>
          <w14:ligatures w14:val="standardContextual"/>
        </w:rPr>
        <w:t>管理机构有健全的股权投资管理和风险控制制度，规范的项目遴选机制和投资决策机制，完善的内部财务管理制度，能够为被投资企业提供辅导、管理、咨询等增值服务。</w:t>
      </w:r>
    </w:p>
    <w:p w14:paraId="5E035661">
      <w:pPr>
        <w:spacing w:line="600" w:lineRule="exact"/>
        <w:ind w:firstLine="640" w:firstLineChars="200"/>
        <w:rPr>
          <w:rFonts w:hint="eastAsia" w:ascii="楷体_GB2312" w:hAnsi="等线" w:eastAsia="楷体_GB2312" w:cs="Times New Roman"/>
          <w:sz w:val="32"/>
          <w:szCs w:val="32"/>
          <w14:ligatures w14:val="standardContextual"/>
        </w:rPr>
      </w:pPr>
      <w:r>
        <w:rPr>
          <w:rFonts w:hint="eastAsia" w:ascii="楷体_GB2312" w:hAnsi="等线" w:eastAsia="楷体_GB2312" w:cs="Times New Roman"/>
          <w:sz w:val="32"/>
          <w:szCs w:val="32"/>
          <w14:ligatures w14:val="standardContextual"/>
        </w:rPr>
        <w:t>（八）优先考虑与符合以下条件的管理机构合作：</w:t>
      </w:r>
    </w:p>
    <w:p w14:paraId="50EF8A59">
      <w:pPr>
        <w:spacing w:line="600" w:lineRule="exact"/>
        <w:ind w:firstLine="640" w:firstLineChars="200"/>
        <w:rPr>
          <w:rFonts w:hint="eastAsia" w:ascii="仿宋_GB2312" w:hAnsi="等线" w:eastAsia="仿宋_GB2312" w:cs="Times New Roman"/>
          <w:sz w:val="32"/>
          <w:szCs w:val="32"/>
          <w14:ligatures w14:val="standardContextual"/>
        </w:rPr>
      </w:pPr>
      <w:r>
        <w:rPr>
          <w:rFonts w:hint="eastAsia" w:ascii="仿宋_GB2312" w:hAnsi="等线" w:eastAsia="仿宋_GB2312" w:cs="Times New Roman"/>
          <w:sz w:val="32"/>
          <w:szCs w:val="32"/>
          <w14:ligatures w14:val="standardContextual"/>
        </w:rPr>
        <w:t>1.管理机构具有较强的央企或山东省属企业资源嫁接能力；</w:t>
      </w:r>
    </w:p>
    <w:p w14:paraId="3B7768A8">
      <w:pPr>
        <w:spacing w:line="600" w:lineRule="exact"/>
        <w:ind w:firstLine="640" w:firstLineChars="200"/>
        <w:rPr>
          <w:rFonts w:hint="eastAsia" w:ascii="仿宋_GB2312" w:hAnsi="等线" w:eastAsia="仿宋_GB2312" w:cs="Times New Roman"/>
          <w:sz w:val="32"/>
          <w:szCs w:val="32"/>
          <w14:ligatures w14:val="standardContextual"/>
        </w:rPr>
      </w:pPr>
      <w:r>
        <w:rPr>
          <w:rFonts w:hint="eastAsia" w:ascii="仿宋_GB2312" w:hAnsi="等线" w:eastAsia="仿宋_GB2312" w:cs="Times New Roman"/>
          <w:sz w:val="32"/>
          <w:szCs w:val="32"/>
          <w14:ligatures w14:val="standardContextual"/>
        </w:rPr>
        <w:t>2.管理机构可充分调动链主企业、园区等资源要素，实现与济南市重点产业延链、补链需求的精准匹配；</w:t>
      </w:r>
    </w:p>
    <w:p w14:paraId="4301DD28">
      <w:pPr>
        <w:spacing w:line="600" w:lineRule="exact"/>
        <w:ind w:firstLine="640" w:firstLineChars="200"/>
        <w:rPr>
          <w:rFonts w:hint="eastAsia" w:ascii="仿宋_GB2312" w:hAnsi="等线" w:eastAsia="仿宋_GB2312" w:cs="Times New Roman"/>
          <w:sz w:val="32"/>
          <w:szCs w:val="32"/>
          <w14:ligatures w14:val="standardContextual"/>
        </w:rPr>
      </w:pPr>
      <w:r>
        <w:rPr>
          <w:rFonts w:hint="eastAsia" w:ascii="仿宋_GB2312" w:hAnsi="等线" w:eastAsia="仿宋_GB2312" w:cs="Times New Roman"/>
          <w:sz w:val="32"/>
          <w:szCs w:val="32"/>
          <w14:ligatures w14:val="standardContextual"/>
        </w:rPr>
        <w:t>3.管理机构管理过</w:t>
      </w:r>
      <w:r>
        <w:rPr>
          <w:rFonts w:hint="eastAsia" w:ascii="仿宋_GB2312" w:hAnsi="等线" w:eastAsia="仿宋_GB2312" w:cs="Times New Roman"/>
          <w:sz w:val="32"/>
          <w:szCs w:val="32"/>
          <w:lang w:val="en-US" w:eastAsia="zh-CN"/>
          <w14:ligatures w14:val="standardContextual"/>
        </w:rPr>
        <w:t>2</w:t>
      </w:r>
      <w:r>
        <w:rPr>
          <w:rFonts w:hint="eastAsia" w:ascii="仿宋_GB2312" w:hAnsi="等线" w:eastAsia="仿宋_GB2312" w:cs="Times New Roman"/>
          <w:sz w:val="32"/>
          <w:szCs w:val="32"/>
          <w14:ligatures w14:val="standardContextual"/>
        </w:rPr>
        <w:t>只及以上</w:t>
      </w:r>
      <w:r>
        <w:rPr>
          <w:rFonts w:hint="eastAsia" w:ascii="仿宋_GB2312" w:hAnsi="等线" w:eastAsia="仿宋_GB2312" w:cs="Times New Roman"/>
          <w:sz w:val="32"/>
          <w:szCs w:val="32"/>
          <w:lang w:eastAsia="zh-CN"/>
          <w14:ligatures w14:val="standardContextual"/>
        </w:rPr>
        <w:t>高端先进材料创投基金</w:t>
      </w:r>
      <w:r>
        <w:rPr>
          <w:rFonts w:hint="eastAsia" w:ascii="仿宋_GB2312" w:hAnsi="等线" w:eastAsia="仿宋_GB2312" w:cs="Times New Roman"/>
          <w:sz w:val="32"/>
          <w:szCs w:val="32"/>
          <w14:ligatures w14:val="standardContextual"/>
        </w:rPr>
        <w:t>，储备济南本地及拟落地项目不少于10个，其中拟落地项目符合济南</w:t>
      </w:r>
      <w:r>
        <w:rPr>
          <w:rFonts w:hint="eastAsia" w:ascii="仿宋_GB2312" w:hAnsi="等线" w:eastAsia="仿宋_GB2312" w:cs="Times New Roman"/>
          <w:sz w:val="32"/>
          <w:szCs w:val="32"/>
          <w:lang w:eastAsia="zh-CN"/>
          <w14:ligatures w14:val="standardContextual"/>
        </w:rPr>
        <w:t>高端先进材料</w:t>
      </w:r>
      <w:r>
        <w:rPr>
          <w:rFonts w:hint="eastAsia" w:ascii="仿宋_GB2312" w:hAnsi="等线" w:eastAsia="仿宋_GB2312" w:cs="Times New Roman"/>
          <w:sz w:val="32"/>
          <w:szCs w:val="32"/>
          <w14:ligatures w14:val="standardContextual"/>
        </w:rPr>
        <w:t>发展导向，且能推动1-2个项目可在基金组建完成后3个月内实现落地。</w:t>
      </w:r>
    </w:p>
    <w:p w14:paraId="46910FE2">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三、基金运营要求</w:t>
      </w:r>
    </w:p>
    <w:p w14:paraId="217B3502">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基金采取市场化机制运作，由管理机构依据合伙协议等相关约定进行投资决策。引导基金有权根据自身情况委派参股基金投委会委员或基金投委会投资观察员。观察员有权对基金拟投资项目是否符合法律法规事项等进行事前合规性审核，不符合合规性要求的拟投资项目不得投资。</w:t>
      </w:r>
    </w:p>
    <w:p w14:paraId="7155B419">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参股基金对单个项目单次投资金额原则上不超过5000万元人民币，且对单个项目的累计投资金额不超过参股基金总规模的30%。</w:t>
      </w:r>
    </w:p>
    <w:p w14:paraId="304F698A">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基金管理机构应为基金组建投资运营团队，团队中应包括投资和风控专业人士，人数不得少于</w:t>
      </w:r>
      <w:r>
        <w:rPr>
          <w:rFonts w:ascii="仿宋_GB2312" w:hAnsi="仿宋" w:eastAsia="仿宋_GB2312" w:cs="仿宋"/>
          <w:sz w:val="32"/>
          <w:szCs w:val="32"/>
        </w:rPr>
        <w:t>3人。投资运营团</w:t>
      </w:r>
      <w:r>
        <w:rPr>
          <w:rFonts w:hint="eastAsia" w:ascii="仿宋_GB2312" w:hAnsi="仿宋" w:eastAsia="仿宋_GB2312" w:cs="仿宋"/>
          <w:sz w:val="32"/>
          <w:szCs w:val="32"/>
        </w:rPr>
        <w:t>队应定期（</w:t>
      </w:r>
      <w:r>
        <w:rPr>
          <w:rFonts w:ascii="仿宋_GB2312" w:hAnsi="仿宋" w:eastAsia="仿宋_GB2312" w:cs="仿宋"/>
          <w:sz w:val="32"/>
          <w:szCs w:val="32"/>
        </w:rPr>
        <w:t>至少</w:t>
      </w:r>
      <w:r>
        <w:rPr>
          <w:rFonts w:hint="eastAsia" w:ascii="仿宋_GB2312" w:hAnsi="仿宋" w:eastAsia="仿宋_GB2312" w:cs="仿宋"/>
          <w:sz w:val="32"/>
          <w:szCs w:val="32"/>
        </w:rPr>
        <w:t>每半年一次）</w:t>
      </w:r>
      <w:r>
        <w:rPr>
          <w:rFonts w:ascii="仿宋_GB2312" w:hAnsi="仿宋" w:eastAsia="仿宋_GB2312" w:cs="仿宋"/>
          <w:sz w:val="32"/>
          <w:szCs w:val="32"/>
        </w:rPr>
        <w:t>向合伙人大会或所有出资人报告基金运营情况和团队履职尽责情况。</w:t>
      </w:r>
    </w:p>
    <w:p w14:paraId="4E06682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ascii="仿宋_GB2312" w:hAnsi="仿宋" w:eastAsia="仿宋_GB2312" w:cs="仿宋"/>
          <w:sz w:val="32"/>
          <w:szCs w:val="32"/>
        </w:rPr>
        <w:t>.</w:t>
      </w:r>
      <w:r>
        <w:rPr>
          <w:rFonts w:hint="eastAsia" w:ascii="仿宋_GB2312" w:eastAsia="仿宋_GB2312"/>
          <w:sz w:val="32"/>
          <w:szCs w:val="32"/>
        </w:rPr>
        <w:t>基金资产应委托一家在中国境内设立且具备资质的商业银行进行托管，托管银行由参股基金管理机构选择并经参股基金全体出资人一致同意。托管银行接受参股基金委托并签订资金托管协议，按照参股基金合同（合伙协议或公司章程）、托管协议开展资产保管、资金拨付和结算等日常工作，对投资活动进行动态监管，确保参股基金按约定方向投资，按约定提交季度、半年度、年度资金托管报告。</w:t>
      </w:r>
    </w:p>
    <w:p w14:paraId="15B6F7FE">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5.为避免资金闲置，参股基金原则上按照项目储备情况分期出资。引导基金与其他出资人在参股基金章程或合伙协议中约定有下列情况之一的，引导基金无需其他出资人同意，可选择提前退出：</w:t>
      </w:r>
    </w:p>
    <w:p w14:paraId="2317F219">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）参股基金方案确认后超过</w:t>
      </w:r>
      <w:r>
        <w:rPr>
          <w:rFonts w:ascii="仿宋_GB2312" w:hAnsi="仿宋" w:eastAsia="仿宋_GB2312" w:cs="仿宋"/>
          <w:sz w:val="32"/>
          <w:szCs w:val="32"/>
        </w:rPr>
        <w:t>1年，未按规定程序和时间要求完成设立手续的；</w:t>
      </w:r>
    </w:p>
    <w:p w14:paraId="2D140054">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）参股基金设立</w:t>
      </w:r>
      <w:r>
        <w:rPr>
          <w:rFonts w:ascii="仿宋_GB2312" w:hAnsi="仿宋" w:eastAsia="仿宋_GB2312" w:cs="仿宋"/>
          <w:sz w:val="32"/>
          <w:szCs w:val="32"/>
        </w:rPr>
        <w:t>1年以上未备案，或备案后1年以上未开展投资业务的；</w:t>
      </w:r>
    </w:p>
    <w:p w14:paraId="3DD464A8">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）参股基金投资领域和方向不符合政策目标的；</w:t>
      </w:r>
    </w:p>
    <w:p w14:paraId="00AF1425">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）参股基金未按章程或合伙协议约定投资的；</w:t>
      </w:r>
    </w:p>
    <w:p w14:paraId="53C01232">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）参股基金管理人发生实质性变化，不再符合参股基金管理机构条件的；</w:t>
      </w:r>
    </w:p>
    <w:p w14:paraId="4D63A5A7">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）其他不符合引导基金要求情形的。</w:t>
      </w:r>
    </w:p>
    <w:p w14:paraId="1FBB90C4">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6.济南财投每年对参股基金投资运营情况开展绩效评价。绩效评价结果应用于对参股基金的出资调整和管理费计提等方面。</w:t>
      </w:r>
    </w:p>
    <w:p w14:paraId="56C420B6">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7.</w:t>
      </w:r>
      <w:r>
        <w:rPr>
          <w:rFonts w:hint="eastAsia" w:ascii="仿宋_GB2312" w:hAnsi="仿宋" w:eastAsia="仿宋_GB2312" w:cs="仿宋"/>
          <w:sz w:val="32"/>
          <w:szCs w:val="32"/>
        </w:rPr>
        <w:t>未尽事宜由基金全体合伙人共同商定。</w:t>
      </w:r>
    </w:p>
    <w:p w14:paraId="60453828">
      <w:pPr>
        <w:spacing w:line="600" w:lineRule="exact"/>
        <w:ind w:firstLine="640" w:firstLineChars="200"/>
        <w:rPr>
          <w:rFonts w:hint="eastAsia" w:ascii="黑体" w:hAnsi="黑体" w:eastAsia="黑体" w:cs="仿宋"/>
          <w:sz w:val="32"/>
          <w:szCs w:val="32"/>
        </w:rPr>
      </w:pPr>
      <w:r>
        <w:rPr>
          <w:rFonts w:ascii="黑体" w:hAnsi="黑体" w:eastAsia="黑体" w:cs="仿宋"/>
          <w:sz w:val="32"/>
          <w:szCs w:val="32"/>
        </w:rPr>
        <w:t>四</w:t>
      </w:r>
      <w:r>
        <w:rPr>
          <w:rFonts w:hint="eastAsia" w:ascii="黑体" w:hAnsi="黑体" w:eastAsia="黑体" w:cs="仿宋"/>
          <w:sz w:val="32"/>
          <w:szCs w:val="32"/>
        </w:rPr>
        <w:t>、遴选流程</w:t>
      </w:r>
    </w:p>
    <w:p w14:paraId="4DE228B1">
      <w:pPr>
        <w:spacing w:line="600" w:lineRule="exact"/>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（一）报名申请。</w:t>
      </w:r>
      <w:r>
        <w:rPr>
          <w:rFonts w:hint="eastAsia" w:ascii="仿宋_GB2312" w:hAnsi="仿宋" w:eastAsia="仿宋_GB2312" w:cs="仿宋"/>
          <w:sz w:val="32"/>
          <w:szCs w:val="32"/>
        </w:rPr>
        <w:t>符合条件且有意向合作的基金管理机构请按照《合作机构申报材料要求》（附后）填报相关文件并提供相关证明材料。电子版文件请发送至济南财投联系人的邮箱，纸质文件加盖公章后装订成册由申请机构自行密封（密封处需加盖申请机构公章）现场送达或邮寄至济南财投。</w:t>
      </w:r>
    </w:p>
    <w:p w14:paraId="5E250E01">
      <w:pPr>
        <w:spacing w:line="600" w:lineRule="exact"/>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（二）申请受理。</w:t>
      </w:r>
      <w:r>
        <w:rPr>
          <w:rFonts w:hint="eastAsia" w:ascii="仿宋_GB2312" w:hAnsi="仿宋" w:eastAsia="仿宋_GB2312" w:cs="仿宋"/>
          <w:sz w:val="32"/>
          <w:szCs w:val="32"/>
        </w:rPr>
        <w:t>申报机构按要求编制参股基金设立方案并报送至济南财投。</w:t>
      </w:r>
    </w:p>
    <w:p w14:paraId="3E86C46A">
      <w:pPr>
        <w:spacing w:line="600" w:lineRule="exact"/>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（三）组织审查。</w:t>
      </w:r>
      <w:r>
        <w:rPr>
          <w:rFonts w:hint="eastAsia" w:ascii="仿宋_GB2312" w:hAnsi="仿宋" w:eastAsia="仿宋_GB2312" w:cs="仿宋"/>
          <w:sz w:val="32"/>
          <w:szCs w:val="32"/>
        </w:rPr>
        <w:t>济南财投开展基金管理机构初步审查、尽职调查等工作，拟定中选管理机构名单。</w:t>
      </w:r>
    </w:p>
    <w:p w14:paraId="5BC3166C">
      <w:pPr>
        <w:spacing w:line="600" w:lineRule="exact"/>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（四）入股谈判。</w:t>
      </w:r>
      <w:r>
        <w:rPr>
          <w:rFonts w:hint="eastAsia" w:ascii="仿宋_GB2312" w:hAnsi="仿宋" w:eastAsia="仿宋_GB2312" w:cs="仿宋"/>
          <w:sz w:val="32"/>
          <w:szCs w:val="32"/>
        </w:rPr>
        <w:t>由济南财投联合法律专家等，与基金管理机构、其他基金出资人授权代表进行磋商，确定参股基金合作核心条款。</w:t>
      </w:r>
    </w:p>
    <w:p w14:paraId="179EC967">
      <w:pPr>
        <w:spacing w:line="600" w:lineRule="exact"/>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（五）决策公示。</w:t>
      </w:r>
      <w:r>
        <w:rPr>
          <w:rFonts w:hint="eastAsia" w:ascii="仿宋_GB2312" w:hAnsi="仿宋" w:eastAsia="仿宋_GB2312" w:cs="仿宋"/>
          <w:sz w:val="32"/>
          <w:szCs w:val="32"/>
        </w:rPr>
        <w:t>济南财投按程序履行内部投资决策后，将拟定的中选管理机构名单按要求进行公示，并对公示中发现的问题进行核查，并反馈核查结果和处理意见。</w:t>
      </w:r>
    </w:p>
    <w:p w14:paraId="36DC0213">
      <w:pPr>
        <w:spacing w:line="600" w:lineRule="exact"/>
        <w:ind w:firstLine="640" w:firstLineChars="200"/>
        <w:rPr>
          <w:rFonts w:hint="eastAsia" w:ascii="仿宋_GB2312" w:hAnsi="仿宋" w:eastAsia="仿宋_GB2312" w:cs="仿宋"/>
          <w:sz w:val="32"/>
          <w:szCs w:val="32"/>
        </w:rPr>
      </w:pPr>
      <w:r>
        <w:rPr>
          <w:rFonts w:hint="eastAsia" w:ascii="楷体_GB2312" w:hAnsi="仿宋" w:eastAsia="楷体_GB2312" w:cs="仿宋"/>
          <w:sz w:val="32"/>
          <w:szCs w:val="32"/>
        </w:rPr>
        <w:t>（六）协议签署。</w:t>
      </w:r>
      <w:r>
        <w:rPr>
          <w:rFonts w:hint="eastAsia" w:ascii="仿宋_GB2312" w:hAnsi="仿宋" w:eastAsia="仿宋_GB2312" w:cs="仿宋"/>
          <w:sz w:val="32"/>
          <w:szCs w:val="32"/>
        </w:rPr>
        <w:t>根据决策和公示情况，济南财投指定出资主体与基金相关方在各自履行投资决策程序后，正式签署基金协议。</w:t>
      </w:r>
    </w:p>
    <w:p w14:paraId="6B09DBA9">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br w:type="page"/>
      </w:r>
    </w:p>
    <w:p w14:paraId="2B3ADCFE">
      <w:pPr>
        <w:spacing w:line="600" w:lineRule="exact"/>
        <w:jc w:val="center"/>
        <w:rPr>
          <w:rFonts w:hint="eastAsia" w:ascii="方正小标宋简体" w:hAnsi="方正小标宋简体" w:eastAsia="方正小标宋简体" w:cs="仿宋"/>
          <w:sz w:val="44"/>
          <w:szCs w:val="44"/>
        </w:rPr>
      </w:pPr>
      <w:r>
        <w:rPr>
          <w:rFonts w:hint="eastAsia" w:ascii="方正小标宋简体" w:hAnsi="方正小标宋简体" w:eastAsia="方正小标宋简体" w:cs="仿宋"/>
          <w:sz w:val="44"/>
          <w:szCs w:val="44"/>
        </w:rPr>
        <w:t>合作机构申报材料要求</w:t>
      </w:r>
    </w:p>
    <w:p w14:paraId="1FA85DEC">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一、申报材料内容</w:t>
      </w:r>
    </w:p>
    <w:p w14:paraId="3DD45CEB">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基金组建方案</w:t>
      </w:r>
    </w:p>
    <w:p w14:paraId="289B1ECE">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基金名称、基金注册地、组织形式、基金规模及募资计划、基金管理架构、项目遴选机制、投资决策机制、返投方案、风险防范、投资退出、经营期限等。</w:t>
      </w:r>
    </w:p>
    <w:p w14:paraId="63F43D9D">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.基金管理机构情况</w:t>
      </w:r>
    </w:p>
    <w:p w14:paraId="67F66BF3">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基金管理机构及募集资金的所有出资人的营业执照（</w:t>
      </w:r>
      <w:r>
        <w:rPr>
          <w:rFonts w:ascii="仿宋_GB2312" w:hAnsi="仿宋" w:eastAsia="仿宋_GB2312" w:cs="仿宋"/>
          <w:sz w:val="32"/>
          <w:szCs w:val="32"/>
        </w:rPr>
        <w:t>副本复印件</w:t>
      </w:r>
      <w:r>
        <w:rPr>
          <w:rFonts w:hint="eastAsia" w:ascii="仿宋_GB2312" w:hAnsi="仿宋" w:eastAsia="仿宋_GB2312" w:cs="仿宋"/>
          <w:sz w:val="32"/>
          <w:szCs w:val="32"/>
        </w:rPr>
        <w:t>）</w:t>
      </w:r>
      <w:r>
        <w:rPr>
          <w:rFonts w:ascii="仿宋_GB2312" w:hAnsi="仿宋" w:eastAsia="仿宋_GB2312" w:cs="仿宋"/>
          <w:sz w:val="32"/>
          <w:szCs w:val="32"/>
        </w:rPr>
        <w:t>、出资承诺函</w:t>
      </w:r>
      <w:r>
        <w:rPr>
          <w:rFonts w:hint="eastAsia" w:ascii="仿宋_GB2312" w:hAnsi="仿宋" w:eastAsia="仿宋_GB2312" w:cs="仿宋"/>
          <w:sz w:val="32"/>
          <w:szCs w:val="32"/>
        </w:rPr>
        <w:t>（</w:t>
      </w:r>
      <w:r>
        <w:rPr>
          <w:rFonts w:ascii="仿宋_GB2312" w:hAnsi="仿宋" w:eastAsia="仿宋_GB2312" w:cs="仿宋"/>
          <w:sz w:val="32"/>
          <w:szCs w:val="32"/>
        </w:rPr>
        <w:t>各出资人加盖公章</w:t>
      </w:r>
      <w:r>
        <w:rPr>
          <w:rFonts w:hint="eastAsia" w:ascii="仿宋_GB2312" w:hAnsi="仿宋" w:eastAsia="仿宋_GB2312" w:cs="仿宋"/>
          <w:sz w:val="32"/>
          <w:szCs w:val="32"/>
        </w:rPr>
        <w:t>）</w:t>
      </w:r>
      <w:r>
        <w:rPr>
          <w:rFonts w:ascii="仿宋_GB2312" w:hAnsi="仿宋" w:eastAsia="仿宋_GB2312" w:cs="仿宋"/>
          <w:sz w:val="32"/>
          <w:szCs w:val="32"/>
        </w:rPr>
        <w:t>、基金管理机构章程、股权结构和实际控制人、管理架构和高管名单、激励措施以及对基金组建、运营、解散有关事项的承诺</w:t>
      </w:r>
      <w:r>
        <w:rPr>
          <w:rFonts w:hint="eastAsia" w:ascii="仿宋_GB2312" w:hAnsi="仿宋" w:eastAsia="仿宋_GB2312" w:cs="仿宋"/>
          <w:sz w:val="32"/>
          <w:szCs w:val="32"/>
        </w:rPr>
        <w:t>、</w:t>
      </w:r>
      <w:r>
        <w:rPr>
          <w:rFonts w:hint="eastAsia" w:ascii="仿宋_GB2312" w:eastAsia="仿宋_GB2312"/>
          <w:sz w:val="32"/>
          <w:szCs w:val="32"/>
        </w:rPr>
        <w:t>中国证券投资基金业协会官网的备案公示信息，以及补充说明材料</w:t>
      </w:r>
      <w:r>
        <w:rPr>
          <w:rFonts w:hint="eastAsia" w:ascii="仿宋_GB2312" w:hAnsi="仿宋" w:eastAsia="仿宋_GB2312" w:cs="仿宋"/>
          <w:sz w:val="32"/>
          <w:szCs w:val="32"/>
        </w:rPr>
        <w:t>等。</w:t>
      </w:r>
    </w:p>
    <w:p w14:paraId="0C24B5D5">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.基金管理机构核心团队情况</w:t>
      </w:r>
    </w:p>
    <w:p w14:paraId="08FF9D8C">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主要核心团队成员详细资料及履历、管理各类基金情况、主要项目投资案例及参与程度、主要管理人员之间合作经历等。基金管理公司设立情况包括但不限于注册资本、股权结构、组织形式（</w:t>
      </w:r>
      <w:r>
        <w:rPr>
          <w:rFonts w:ascii="仿宋_GB2312" w:hAnsi="仿宋" w:eastAsia="仿宋_GB2312" w:cs="仿宋"/>
          <w:sz w:val="32"/>
          <w:szCs w:val="32"/>
        </w:rPr>
        <w:t>包括董事会、监事会、经理层、申报基金的核心管理人员详细情况，部门设置</w:t>
      </w:r>
      <w:r>
        <w:rPr>
          <w:rFonts w:hint="eastAsia" w:ascii="仿宋_GB2312" w:hAnsi="仿宋" w:eastAsia="仿宋_GB2312" w:cs="仿宋"/>
          <w:sz w:val="32"/>
          <w:szCs w:val="32"/>
        </w:rPr>
        <w:t>情况，各部门专业人员配置）</w:t>
      </w:r>
      <w:r>
        <w:rPr>
          <w:rFonts w:ascii="仿宋_GB2312" w:hAnsi="仿宋" w:eastAsia="仿宋_GB2312" w:cs="仿宋"/>
          <w:sz w:val="32"/>
          <w:szCs w:val="32"/>
        </w:rPr>
        <w:t>情况等。</w:t>
      </w:r>
    </w:p>
    <w:p w14:paraId="16FA9B5C">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.项目储备情况</w:t>
      </w:r>
    </w:p>
    <w:p w14:paraId="318796AA">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不低于</w:t>
      </w:r>
      <w:r>
        <w:rPr>
          <w:rFonts w:ascii="仿宋_GB2312" w:hAnsi="仿宋" w:eastAsia="仿宋_GB2312" w:cs="仿宋"/>
          <w:sz w:val="32"/>
          <w:szCs w:val="32"/>
        </w:rPr>
        <w:t>10个项目储备，其中储备项目中有3个成熟可投项目。</w:t>
      </w:r>
    </w:p>
    <w:p w14:paraId="2A43DE44">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5、</w:t>
      </w:r>
      <w:r>
        <w:rPr>
          <w:rFonts w:hint="eastAsia" w:ascii="仿宋_GB2312" w:eastAsia="仿宋_GB2312"/>
          <w:sz w:val="32"/>
          <w:szCs w:val="32"/>
        </w:rPr>
        <w:t>申报机构需要提供的其他资料。</w:t>
      </w:r>
    </w:p>
    <w:p w14:paraId="1442BC6F">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二、其他要求</w:t>
      </w:r>
    </w:p>
    <w:p w14:paraId="55D6D833">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w:t>
      </w:r>
      <w:r>
        <w:rPr>
          <w:rFonts w:ascii="仿宋_GB2312" w:hAnsi="仿宋" w:eastAsia="仿宋_GB2312" w:cs="仿宋"/>
          <w:sz w:val="32"/>
          <w:szCs w:val="32"/>
        </w:rPr>
        <w:t>申报机构应当对申报材料的真实性负责，对于以虚假材料进行申报的，将取消申报资格。</w:t>
      </w:r>
    </w:p>
    <w:p w14:paraId="708FA7AB">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w:t>
      </w:r>
      <w:r>
        <w:rPr>
          <w:rFonts w:ascii="仿宋_GB2312" w:hAnsi="仿宋" w:eastAsia="仿宋_GB2312" w:cs="仿宋"/>
          <w:sz w:val="32"/>
          <w:szCs w:val="32"/>
        </w:rPr>
        <w:t>申报材料封面应标明下列内容：申报机构名称、法定代表人、公司地址、联系人、联系电话。</w:t>
      </w:r>
    </w:p>
    <w:p w14:paraId="0572B3B6">
      <w:pPr>
        <w:spacing w:line="600" w:lineRule="exact"/>
        <w:ind w:firstLine="640" w:firstLineChars="200"/>
        <w:rPr>
          <w:rFonts w:ascii="仿宋_GB2312" w:eastAsia="仿宋_GB2312"/>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w:t>
      </w:r>
      <w:r>
        <w:rPr>
          <w:rFonts w:ascii="仿宋_GB2312" w:hAnsi="仿宋" w:eastAsia="仿宋_GB2312" w:cs="仿宋"/>
          <w:sz w:val="32"/>
          <w:szCs w:val="32"/>
        </w:rPr>
        <w:t>申报机构应按顺序准备申报材料，并列出目录。重要承诺材料请加盖单位公章，每份材料加盖骑缝章。全部材料一律用A4</w:t>
      </w:r>
      <w:r>
        <w:rPr>
          <w:rFonts w:hint="eastAsia" w:ascii="仿宋_GB2312" w:hAnsi="仿宋" w:eastAsia="仿宋_GB2312" w:cs="仿宋"/>
          <w:sz w:val="32"/>
          <w:szCs w:val="32"/>
        </w:rPr>
        <w:t>纸打印装订成册</w:t>
      </w:r>
      <w:r>
        <w:rPr>
          <w:rFonts w:ascii="仿宋_GB2312" w:hAnsi="仿宋" w:eastAsia="仿宋_GB2312" w:cs="仿宋"/>
          <w:sz w:val="32"/>
          <w:szCs w:val="32"/>
        </w:rPr>
        <w:t>8份，其中：正本1份，副本7份。正本必须是原件，副本可以使用正本文件的复印件。所有材料密封提交，粘贴处加盖公章。同时上报电子版1份。</w:t>
      </w:r>
    </w:p>
    <w:p w14:paraId="4D075578">
      <w:pPr>
        <w:spacing w:line="600" w:lineRule="exact"/>
        <w:ind w:firstLine="640" w:firstLineChars="200"/>
        <w:rPr>
          <w:sz w:val="32"/>
          <w:szCs w:val="40"/>
        </w:rPr>
      </w:pPr>
    </w:p>
    <w:sectPr>
      <w:footerReference r:id="rId5" w:type="default"/>
      <w:pgSz w:w="11906" w:h="16838"/>
      <w:pgMar w:top="1240" w:right="1800" w:bottom="1318"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5A8265-2DF7-4146-A328-CB0F30129B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92370BF-777F-46BE-9B6E-63F31A2972CF}"/>
  </w:font>
  <w:font w:name="方正小标宋_GBK">
    <w:altName w:val="微软雅黑"/>
    <w:panose1 w:val="02000000000000000000"/>
    <w:charset w:val="86"/>
    <w:family w:val="roman"/>
    <w:pitch w:val="default"/>
    <w:sig w:usb0="00000000" w:usb1="00000000" w:usb2="00082016" w:usb3="00000000" w:csb0="00040001" w:csb1="00000000"/>
    <w:embedRegular r:id="rId3" w:fontKey="{A3864668-32D5-4042-BE65-C1C53BD6086B}"/>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4" w:fontKey="{68937A82-0B3A-477D-9853-37BE655A1D04}"/>
  </w:font>
  <w:font w:name="仿宋">
    <w:panose1 w:val="02010609060101010101"/>
    <w:charset w:val="86"/>
    <w:family w:val="modern"/>
    <w:pitch w:val="default"/>
    <w:sig w:usb0="800002BF" w:usb1="38CF7CFA" w:usb2="00000016" w:usb3="00000000" w:csb0="00040001" w:csb1="00000000"/>
    <w:embedRegular r:id="rId5" w:fontKey="{86E288DC-ED2A-406E-B57A-8A84DF926064}"/>
  </w:font>
  <w:font w:name="楷体_GB2312">
    <w:altName w:val="楷体"/>
    <w:panose1 w:val="02010609030101010101"/>
    <w:charset w:val="86"/>
    <w:family w:val="modern"/>
    <w:pitch w:val="default"/>
    <w:sig w:usb0="00000000" w:usb1="00000000" w:usb2="00000000" w:usb3="00000000" w:csb0="00040000" w:csb1="00000000"/>
    <w:embedRegular r:id="rId6" w:fontKey="{225CAA17-1DBA-4B1D-B402-2647A9A64567}"/>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7" w:fontKey="{DA13BE9A-4A0A-4CB3-8C17-494717E831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75059"/>
    </w:sdtPr>
    <w:sdtEndPr>
      <w:rPr>
        <w:rFonts w:asciiTheme="minorEastAsia" w:hAnsiTheme="minorEastAsia"/>
        <w:sz w:val="28"/>
        <w:szCs w:val="28"/>
      </w:rPr>
    </w:sdtEndPr>
    <w:sdtContent>
      <w:p w14:paraId="2DE91405">
        <w:pPr>
          <w:pStyle w:val="4"/>
          <w:jc w:val="center"/>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10 -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860BBA"/>
    <w:rsid w:val="00030C1A"/>
    <w:rsid w:val="000657D6"/>
    <w:rsid w:val="001056EB"/>
    <w:rsid w:val="00115E26"/>
    <w:rsid w:val="001204B8"/>
    <w:rsid w:val="00130D2B"/>
    <w:rsid w:val="001723E3"/>
    <w:rsid w:val="001727B9"/>
    <w:rsid w:val="00182A09"/>
    <w:rsid w:val="00187F02"/>
    <w:rsid w:val="001929E5"/>
    <w:rsid w:val="00215A1B"/>
    <w:rsid w:val="0027278B"/>
    <w:rsid w:val="002773EE"/>
    <w:rsid w:val="002971A0"/>
    <w:rsid w:val="002C7761"/>
    <w:rsid w:val="00301773"/>
    <w:rsid w:val="00367411"/>
    <w:rsid w:val="00373F14"/>
    <w:rsid w:val="0041509F"/>
    <w:rsid w:val="004207CE"/>
    <w:rsid w:val="00457B63"/>
    <w:rsid w:val="004E3890"/>
    <w:rsid w:val="00520F1D"/>
    <w:rsid w:val="00525281"/>
    <w:rsid w:val="00567DCB"/>
    <w:rsid w:val="00575222"/>
    <w:rsid w:val="00594F7F"/>
    <w:rsid w:val="005A68FE"/>
    <w:rsid w:val="005B552E"/>
    <w:rsid w:val="00623C10"/>
    <w:rsid w:val="0069482E"/>
    <w:rsid w:val="006B722F"/>
    <w:rsid w:val="00732405"/>
    <w:rsid w:val="00747196"/>
    <w:rsid w:val="00764D84"/>
    <w:rsid w:val="007C1D8D"/>
    <w:rsid w:val="008170C1"/>
    <w:rsid w:val="008629C0"/>
    <w:rsid w:val="00895669"/>
    <w:rsid w:val="008E3373"/>
    <w:rsid w:val="00903905"/>
    <w:rsid w:val="009603E6"/>
    <w:rsid w:val="0097072F"/>
    <w:rsid w:val="009C1D8F"/>
    <w:rsid w:val="009E1E6E"/>
    <w:rsid w:val="009E773B"/>
    <w:rsid w:val="00A06B92"/>
    <w:rsid w:val="00A65E10"/>
    <w:rsid w:val="00AA17AA"/>
    <w:rsid w:val="00AA4B5D"/>
    <w:rsid w:val="00AA75D1"/>
    <w:rsid w:val="00B869E9"/>
    <w:rsid w:val="00BE29DB"/>
    <w:rsid w:val="00C00E16"/>
    <w:rsid w:val="00C1499B"/>
    <w:rsid w:val="00C528C6"/>
    <w:rsid w:val="00C609CF"/>
    <w:rsid w:val="00C60F32"/>
    <w:rsid w:val="00C63961"/>
    <w:rsid w:val="00CB597B"/>
    <w:rsid w:val="00CC6B9D"/>
    <w:rsid w:val="00CD12C5"/>
    <w:rsid w:val="00CF08C8"/>
    <w:rsid w:val="00CF36C5"/>
    <w:rsid w:val="00D705A5"/>
    <w:rsid w:val="00D935ED"/>
    <w:rsid w:val="00E424E5"/>
    <w:rsid w:val="00E71302"/>
    <w:rsid w:val="00F04537"/>
    <w:rsid w:val="00F223E5"/>
    <w:rsid w:val="00F47699"/>
    <w:rsid w:val="00FB6234"/>
    <w:rsid w:val="00FF59FC"/>
    <w:rsid w:val="06892083"/>
    <w:rsid w:val="08A76752"/>
    <w:rsid w:val="0989267C"/>
    <w:rsid w:val="09E35C6A"/>
    <w:rsid w:val="0A174AED"/>
    <w:rsid w:val="0B066857"/>
    <w:rsid w:val="0B1F6BBD"/>
    <w:rsid w:val="0B621946"/>
    <w:rsid w:val="0DE75253"/>
    <w:rsid w:val="0F280735"/>
    <w:rsid w:val="0FE17B58"/>
    <w:rsid w:val="11FF6117"/>
    <w:rsid w:val="14F930DB"/>
    <w:rsid w:val="162A0F37"/>
    <w:rsid w:val="167F660F"/>
    <w:rsid w:val="18846781"/>
    <w:rsid w:val="1AEC5335"/>
    <w:rsid w:val="1C88053B"/>
    <w:rsid w:val="1E634FAB"/>
    <w:rsid w:val="1FDC0071"/>
    <w:rsid w:val="20762FA1"/>
    <w:rsid w:val="20DC0484"/>
    <w:rsid w:val="23860BBA"/>
    <w:rsid w:val="25BA26B3"/>
    <w:rsid w:val="2B101BBC"/>
    <w:rsid w:val="2B846D3D"/>
    <w:rsid w:val="2DAF3E40"/>
    <w:rsid w:val="2E197D68"/>
    <w:rsid w:val="2EEA3B8E"/>
    <w:rsid w:val="2F21721A"/>
    <w:rsid w:val="2F6C5499"/>
    <w:rsid w:val="3141098A"/>
    <w:rsid w:val="32161499"/>
    <w:rsid w:val="32DB727D"/>
    <w:rsid w:val="3613669F"/>
    <w:rsid w:val="36790EA2"/>
    <w:rsid w:val="3720190B"/>
    <w:rsid w:val="40214BCE"/>
    <w:rsid w:val="405D772B"/>
    <w:rsid w:val="422E137F"/>
    <w:rsid w:val="42520708"/>
    <w:rsid w:val="42CD74C6"/>
    <w:rsid w:val="43485A4A"/>
    <w:rsid w:val="443E547C"/>
    <w:rsid w:val="445E7907"/>
    <w:rsid w:val="463F7D88"/>
    <w:rsid w:val="4820176A"/>
    <w:rsid w:val="49012D38"/>
    <w:rsid w:val="4D5878CA"/>
    <w:rsid w:val="4DCB0E9F"/>
    <w:rsid w:val="4DD40E79"/>
    <w:rsid w:val="4E593C28"/>
    <w:rsid w:val="4FFB6512"/>
    <w:rsid w:val="52CB7F29"/>
    <w:rsid w:val="551960B5"/>
    <w:rsid w:val="56F20776"/>
    <w:rsid w:val="57C948DE"/>
    <w:rsid w:val="5A275979"/>
    <w:rsid w:val="5CD310A9"/>
    <w:rsid w:val="5E202891"/>
    <w:rsid w:val="5F6F277B"/>
    <w:rsid w:val="61DD222B"/>
    <w:rsid w:val="6378483D"/>
    <w:rsid w:val="638F5FB8"/>
    <w:rsid w:val="65653184"/>
    <w:rsid w:val="67A6239B"/>
    <w:rsid w:val="68492C55"/>
    <w:rsid w:val="6B0F5C00"/>
    <w:rsid w:val="6DA348BF"/>
    <w:rsid w:val="6E1655E9"/>
    <w:rsid w:val="70BA2B7E"/>
    <w:rsid w:val="71286452"/>
    <w:rsid w:val="725F471D"/>
    <w:rsid w:val="72AF5315"/>
    <w:rsid w:val="74624973"/>
    <w:rsid w:val="768C6099"/>
    <w:rsid w:val="776FD33B"/>
    <w:rsid w:val="794F173E"/>
    <w:rsid w:val="7C391414"/>
    <w:rsid w:val="7CAB5564"/>
    <w:rsid w:val="B9F3859B"/>
    <w:rsid w:val="BB4BAA8C"/>
    <w:rsid w:val="D6FF515C"/>
    <w:rsid w:val="FFD55C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8"/>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qFormat/>
    <w:uiPriority w:val="0"/>
    <w:rPr>
      <w:rFonts w:asciiTheme="minorHAnsi" w:hAnsiTheme="minorHAnsi" w:eastAsiaTheme="minorEastAsia" w:cstheme="minorBidi"/>
      <w:kern w:val="2"/>
      <w:sz w:val="18"/>
      <w:szCs w:val="18"/>
    </w:rPr>
  </w:style>
  <w:style w:type="character" w:customStyle="1" w:styleId="9">
    <w:name w:val="页眉 字符"/>
    <w:basedOn w:val="7"/>
    <w:link w:val="5"/>
    <w:qFormat/>
    <w:uiPriority w:val="0"/>
    <w:rPr>
      <w:rFonts w:asciiTheme="minorHAnsi" w:hAnsiTheme="minorHAnsi" w:eastAsiaTheme="minorEastAsia" w:cstheme="minorBidi"/>
      <w:kern w:val="2"/>
      <w:sz w:val="18"/>
      <w:szCs w:val="18"/>
    </w:rPr>
  </w:style>
  <w:style w:type="character" w:customStyle="1" w:styleId="10">
    <w:name w:val="页脚 字符"/>
    <w:basedOn w:val="7"/>
    <w:link w:val="4"/>
    <w:qFormat/>
    <w:uiPriority w:val="99"/>
    <w:rPr>
      <w:rFonts w:asciiTheme="minorHAnsi" w:hAnsiTheme="minorHAnsi" w:eastAsiaTheme="minorEastAsia" w:cstheme="minorBidi"/>
      <w:kern w:val="2"/>
      <w:sz w:val="18"/>
      <w:szCs w:val="18"/>
    </w:rPr>
  </w:style>
  <w:style w:type="paragraph" w:customStyle="1" w:styleId="11">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3851</Words>
  <Characters>3938</Characters>
  <Lines>108</Lines>
  <Paragraphs>87</Paragraphs>
  <TotalTime>97</TotalTime>
  <ScaleCrop>false</ScaleCrop>
  <LinksUpToDate>false</LinksUpToDate>
  <CharactersWithSpaces>3950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2025-03-13T22:13:00Z</dcterms:created>
  <dc:creator>Pamela</dc:creator>
  <cp:lastModifiedBy>张露</cp:lastModifiedBy>
  <cp:lastPrinted>2025-03-05T17:28:00Z</cp:lastPrinted>
  <dcterms:modified xsi:type="dcterms:W3CDTF">2025-11-05T03:27:23Z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50A3B2BFE29E4B83BCE8E0DF15585DAA_13</vt:lpwstr>
  </property>
  <property fmtid="{D5CDD505-2E9C-101B-9397-08002B2CF9AE}" pid="4" name="KSOTemplateDocerSaveRecord">
    <vt:lpwstr>eyJoZGlkIjoiNzZiZjFjYzhhZjllNjg4NWY1MzdhMjEzZWU1Y2ExNGIiLCJ1c2VySWQiOiIyNjI3NDU3OTgifQ==</vt:lpwstr>
  </property>
</Properties>
</file>